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Pr="001B52B3" w:rsidRDefault="001B52B3" w:rsidP="00EA28C9">
      <w:pPr>
        <w:rPr>
          <w:b/>
          <w:i/>
          <w:sz w:val="28"/>
          <w:szCs w:val="28"/>
          <w:lang w:val="uk-UA"/>
        </w:rPr>
      </w:pP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корпоративне управління</w:t>
      </w: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АСК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«Скарбниця»</w:t>
      </w:r>
    </w:p>
    <w:p w:rsidR="001B52B3" w:rsidRPr="00213F21" w:rsidRDefault="0097089C" w:rsidP="0097089C">
      <w:pPr>
        <w:tabs>
          <w:tab w:val="left" w:pos="4200"/>
        </w:tabs>
        <w:rPr>
          <w:rFonts w:ascii="Times New Roman" w:hAnsi="Times New Roman" w:cs="Times New Roman"/>
          <w:b/>
          <w:i/>
          <w:lang w:val="uk-UA"/>
        </w:rPr>
      </w:pPr>
      <w:r w:rsidRPr="00213F21">
        <w:rPr>
          <w:rFonts w:ascii="Times New Roman" w:hAnsi="Times New Roman" w:cs="Times New Roman"/>
          <w:b/>
          <w:i/>
          <w:lang w:val="uk-UA"/>
        </w:rPr>
        <w:tab/>
      </w:r>
      <w:r w:rsidRPr="00213F21">
        <w:rPr>
          <w:rFonts w:ascii="Times New Roman" w:hAnsi="Times New Roman" w:cs="Times New Roman"/>
          <w:b/>
          <w:i/>
        </w:rPr>
        <w:t>201</w:t>
      </w:r>
      <w:r w:rsidR="00562B69" w:rsidRPr="00467A7B">
        <w:rPr>
          <w:rFonts w:ascii="Times New Roman" w:hAnsi="Times New Roman" w:cs="Times New Roman"/>
          <w:b/>
          <w:i/>
        </w:rPr>
        <w:t>8</w:t>
      </w:r>
      <w:r w:rsidRPr="00213F21">
        <w:rPr>
          <w:rFonts w:ascii="Times New Roman" w:hAnsi="Times New Roman" w:cs="Times New Roman"/>
          <w:b/>
          <w:i/>
        </w:rPr>
        <w:t xml:space="preserve"> </w:t>
      </w:r>
      <w:r w:rsidR="004623AD" w:rsidRPr="00213F21">
        <w:rPr>
          <w:rFonts w:ascii="Times New Roman" w:hAnsi="Times New Roman" w:cs="Times New Roman"/>
          <w:b/>
          <w:i/>
          <w:lang w:val="uk-UA"/>
        </w:rPr>
        <w:t>р.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D0160">
        <w:rPr>
          <w:sz w:val="26"/>
          <w:szCs w:val="26"/>
          <w:lang w:val="uk-UA" w:eastAsia="ru-RU"/>
        </w:rPr>
        <w:t>1</w:t>
      </w:r>
      <w:r w:rsidRPr="00BD0160">
        <w:rPr>
          <w:b/>
          <w:sz w:val="26"/>
          <w:szCs w:val="26"/>
          <w:lang w:val="uk-UA" w:eastAsia="ru-RU"/>
        </w:rPr>
        <w:t xml:space="preserve">. </w:t>
      </w:r>
      <w:r w:rsidRPr="00BD0160">
        <w:rPr>
          <w:rFonts w:ascii="Times New Roman" w:hAnsi="Times New Roman" w:cs="Times New Roman"/>
          <w:b/>
          <w:sz w:val="24"/>
          <w:szCs w:val="24"/>
          <w:lang w:val="uk-UA" w:eastAsia="ru-RU"/>
        </w:rPr>
        <w:t>Вкажіть мету провадження діяльності Товариства</w:t>
      </w:r>
    </w:p>
    <w:p w:rsidR="00EA28C9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створене з метою одержання прибутку на основ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йснення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дприємницької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- надання страхових послуг для страхового захисту майнових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нтерес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 громадян, а також майнових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нтерес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в п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дприємств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, установ та орган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й незалежно 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д форм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власност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Предметом д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є страхування, перестрахування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нансова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>, пов</w:t>
      </w:r>
      <w:r w:rsidR="001C7EB1" w:rsidRPr="00BD016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язана з формуванням,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розм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щенням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страхових резерв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 та їх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управл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нням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4C3E" w:rsidRPr="00BD0160" w:rsidRDefault="00C64C3E" w:rsidP="00C64C3E">
      <w:pPr>
        <w:pStyle w:val="13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D0160">
        <w:rPr>
          <w:rFonts w:ascii="Times New Roman" w:hAnsi="Times New Roman"/>
          <w:b w:val="0"/>
          <w:sz w:val="24"/>
          <w:szCs w:val="24"/>
          <w:lang w:eastAsia="ru-RU"/>
        </w:rPr>
        <w:t xml:space="preserve">2. </w:t>
      </w:r>
      <w:r w:rsidRPr="00BD0160">
        <w:rPr>
          <w:rFonts w:ascii="Times New Roman" w:hAnsi="Times New Roman"/>
          <w:sz w:val="24"/>
          <w:szCs w:val="24"/>
          <w:lang w:eastAsia="ru-RU"/>
        </w:rPr>
        <w:t>Вкажіть факти дотримання/недотримання принципів чи кодексу корпоративного управління (з посиланням на джерело розміщення їх тексту), відхилення та причини такого відхилення протягом року.</w:t>
      </w:r>
    </w:p>
    <w:p w:rsidR="00C64C3E" w:rsidRPr="00BD0160" w:rsidRDefault="00C64C3E" w:rsidP="00C64C3E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  <w:lang w:val="ru-RU" w:eastAsia="ru-RU"/>
        </w:rPr>
      </w:pPr>
    </w:p>
    <w:p w:rsidR="00C64C3E" w:rsidRPr="00BD0160" w:rsidRDefault="00C64C3E" w:rsidP="00C64C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дату складення річного звіту за 2018 рік  Товариство не має власного  Кодексу  корпоративного управління. </w:t>
      </w:r>
    </w:p>
    <w:p w:rsidR="00C64C3E" w:rsidRPr="00BD0160" w:rsidRDefault="00C64C3E" w:rsidP="00C64C3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Корпоративне управління у Товаристві базується на загальних законодавчих нормах і  таких принципах: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Забезпечення акціонерам реальної можливості здійснювати свої права, пов’язані з участю у Товаристві.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Однакове ставлення до акціонерів, незалежно від кількості належних їм акцій.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Здійснення Наглядовою радою ефективного контролю за діяльністю правління.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 xml:space="preserve">Своєчасне розкриття повної та достовірної інформації про Товариство. 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 xml:space="preserve">Ефективний контроль за фінансово-господарською діяльністю Товариства.  </w:t>
      </w:r>
    </w:p>
    <w:p w:rsidR="00C64C3E" w:rsidRPr="00C64C3E" w:rsidRDefault="00C64C3E" w:rsidP="00EA28C9">
      <w:pPr>
        <w:rPr>
          <w:rFonts w:ascii="Times New Roman" w:hAnsi="Times New Roman" w:cs="Times New Roman"/>
          <w:lang w:val="uk-UA"/>
        </w:rPr>
      </w:pP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власників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істотної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(у тому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здійснюють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контроль за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фінансовою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установою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) (для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юридичних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зазначаються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: код за ЄДРПОУ,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; для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фізичних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осіб-прізвища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імена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по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батькові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встановленим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законодавством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складу за </w:t>
      </w:r>
      <w:proofErr w:type="spellStart"/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BD0160" w:rsidRDefault="00C64C3E" w:rsidP="00EA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iстотної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участi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proofErr w:type="gramStart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BD0160" w:rsidRDefault="00EA28C9" w:rsidP="00EA28C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Юридичні особи:</w:t>
      </w:r>
    </w:p>
    <w:p w:rsidR="00EA28C9" w:rsidRPr="00BD0160" w:rsidRDefault="00474B14" w:rsidP="001D01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ПЗНВІФ «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Універсалінвест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» (ЄДРПОУ-250717000) –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62B69" w:rsidRPr="00BD0160">
        <w:rPr>
          <w:rFonts w:ascii="Times New Roman" w:hAnsi="Times New Roman" w:cs="Times New Roman"/>
          <w:sz w:val="24"/>
          <w:szCs w:val="24"/>
        </w:rPr>
        <w:t>5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B69" w:rsidRPr="00BD0160">
        <w:rPr>
          <w:rFonts w:ascii="Times New Roman" w:hAnsi="Times New Roman" w:cs="Times New Roman"/>
          <w:sz w:val="24"/>
          <w:szCs w:val="24"/>
        </w:rPr>
        <w:t>57</w:t>
      </w:r>
      <w:r w:rsidR="00AF2915" w:rsidRPr="00BD0160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Вказан</w:t>
      </w:r>
      <w:proofErr w:type="spell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0160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дповiдають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iстотної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участi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за 201</w:t>
      </w:r>
      <w:r w:rsidR="00562B69" w:rsidRPr="00BD0160">
        <w:rPr>
          <w:rFonts w:ascii="Times New Roman" w:hAnsi="Times New Roman" w:cs="Times New Roman"/>
          <w:sz w:val="24"/>
          <w:szCs w:val="24"/>
        </w:rPr>
        <w:t>8</w:t>
      </w:r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</w:rPr>
        <w:t>4.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Склад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наглядово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Товариства</w:t>
      </w:r>
    </w:p>
    <w:p w:rsidR="00B453A6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Голова Н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аглядової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>ади – Дубовий Борис Васильович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Члени наглядової ради – Пастернак Володимир Іванович, Волинець Ярослав Миколайович</w:t>
      </w:r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Склад Наглядової Ради затверджений Протоколом річних загальних зборів акціонерів №1/18 від 30 березня 2018 р. </w:t>
      </w: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EA28C9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орган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Товариства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Виконавчим органом Товариства є Правління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Правління у складі:</w:t>
      </w:r>
    </w:p>
    <w:p w:rsidR="00EA28C9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– </w:t>
      </w:r>
      <w:r w:rsidR="004B7903" w:rsidRPr="00BD0160">
        <w:rPr>
          <w:rFonts w:ascii="Times New Roman" w:hAnsi="Times New Roman" w:cs="Times New Roman"/>
          <w:sz w:val="24"/>
          <w:szCs w:val="24"/>
          <w:lang w:val="uk-UA"/>
        </w:rPr>
        <w:t>Челак Андрій Ярославович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Перший заступник Голови правління  -  Гураль Андрій Іванович,</w:t>
      </w:r>
    </w:p>
    <w:p w:rsidR="00B453A6" w:rsidRPr="00BD0160" w:rsidRDefault="004B7903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Радник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Голови правління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Дубовий Юрій Борисович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 корпоративного управління –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Михайляк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Зорян Богданович.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10 листопада 2018 р. Правлінню Товариства продовжено повноваження згідно протоколу засідання Наглядової Ради від 06 листопада 2018 р.</w:t>
      </w:r>
    </w:p>
    <w:p w:rsidR="00EA28C9" w:rsidRPr="00BD0160" w:rsidRDefault="00F81DEE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факти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порушення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</w:t>
      </w:r>
      <w:r w:rsidR="00C64C3E" w:rsidRPr="00BD0160">
        <w:rPr>
          <w:rFonts w:ascii="Times New Roman" w:hAnsi="Times New Roman" w:cs="Times New Roman"/>
          <w:b/>
          <w:sz w:val="24"/>
          <w:szCs w:val="24"/>
        </w:rPr>
        <w:t>сутність</w:t>
      </w:r>
      <w:proofErr w:type="spellEnd"/>
      <w:r w:rsidR="00C64C3E" w:rsidRPr="00BD0160">
        <w:rPr>
          <w:rFonts w:ascii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="00C64C3E" w:rsidRPr="00BD0160">
        <w:rPr>
          <w:rFonts w:ascii="Times New Roman" w:hAnsi="Times New Roman" w:cs="Times New Roman"/>
          <w:b/>
          <w:sz w:val="24"/>
          <w:szCs w:val="24"/>
        </w:rPr>
        <w:t>фактів</w:t>
      </w:r>
      <w:proofErr w:type="spellEnd"/>
      <w:r w:rsidR="00C64C3E" w:rsidRPr="00BD0160">
        <w:rPr>
          <w:rFonts w:ascii="Times New Roman" w:hAnsi="Times New Roman" w:cs="Times New Roman"/>
          <w:b/>
          <w:sz w:val="24"/>
          <w:szCs w:val="24"/>
        </w:rPr>
        <w:t xml:space="preserve">) членами </w:t>
      </w:r>
      <w:r w:rsidR="00C64C3E" w:rsidRPr="00BD016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аглядово</w:t>
      </w:r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3E" w:rsidRPr="00BD016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>ади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внутрішніх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правил,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призвело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заподіяння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шкоди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фінансовій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установі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споживачам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фінансових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BD0160" w:rsidRDefault="00F81DEE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Фактiв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аглядово</w:t>
      </w:r>
      <w:proofErr w:type="gramStart"/>
      <w:r w:rsidR="00EA28C9" w:rsidRPr="00BD016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proofErr w:type="gramEnd"/>
      <w:r w:rsidRPr="00BD0160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иконавчого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органу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внутрiшнiх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заподiяння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фiнансовiй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установi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не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виявлено</w:t>
      </w:r>
      <w:r w:rsidR="00EA28C9"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BD0160" w:rsidRDefault="00F81DEE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про заходи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впливу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застосовані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року органами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установи, у тому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членів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аглядово</w:t>
      </w:r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proofErr w:type="gramEnd"/>
      <w:r w:rsidRPr="00BD0160">
        <w:rPr>
          <w:rFonts w:ascii="Times New Roman" w:hAnsi="Times New Roman" w:cs="Times New Roman"/>
          <w:b/>
          <w:sz w:val="24"/>
          <w:szCs w:val="24"/>
        </w:rPr>
        <w:t>ади</w:t>
      </w:r>
      <w:proofErr w:type="spellEnd"/>
      <w:r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иконавчого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органу,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F81DEE" w:rsidRPr="00BD0160" w:rsidRDefault="00F81DEE" w:rsidP="00F81DEE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0160">
        <w:rPr>
          <w:rFonts w:ascii="Times New Roman" w:hAnsi="Times New Roman"/>
          <w:b w:val="0"/>
          <w:sz w:val="24"/>
          <w:szCs w:val="24"/>
        </w:rPr>
        <w:t>7.1 Заходи впливу застосовані протягом 2018 року органами державної влади до фінансової установи:</w:t>
      </w:r>
    </w:p>
    <w:p w:rsidR="00F737DB" w:rsidRPr="00BD0160" w:rsidRDefault="00F81DEE" w:rsidP="00F81D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Приватне акціонерне товариство </w:t>
      </w:r>
      <w:r w:rsidR="00F737DB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акціонерна страхова компанія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37DB" w:rsidRPr="00BD0160">
        <w:rPr>
          <w:rFonts w:ascii="Times New Roman" w:hAnsi="Times New Roman" w:cs="Times New Roman"/>
          <w:sz w:val="24"/>
          <w:szCs w:val="24"/>
          <w:lang w:val="uk-UA"/>
        </w:rPr>
        <w:t>Скарбниця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» отримал</w:t>
      </w:r>
      <w:r w:rsidR="00F737DB" w:rsidRPr="00BD016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від  Національної комісії, що здійснює Державне регулювання у сфері ринків фінансових послуг України 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Постанову № 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129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190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>/13-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>/13/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>4П від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25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квіт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>ня 201</w:t>
      </w:r>
      <w:r w:rsidR="00DB1C10" w:rsidRPr="00BD0160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про застосування штрафу у розмірі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17000,00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D01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порушення законодавства про фінансові послуги</w:t>
      </w:r>
      <w:r w:rsidR="00770442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7903" w:rsidRPr="00BD0160" w:rsidRDefault="00AC5379" w:rsidP="00F81D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Дана Постанова</w:t>
      </w:r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>оскаржу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у судовому порядку</w:t>
      </w:r>
      <w:r w:rsidR="004B7903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37DB" w:rsidRPr="00BD0160" w:rsidRDefault="00F737DB" w:rsidP="00F737DB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0160">
        <w:rPr>
          <w:rFonts w:ascii="Times New Roman" w:hAnsi="Times New Roman"/>
          <w:b w:val="0"/>
          <w:sz w:val="24"/>
          <w:szCs w:val="24"/>
        </w:rPr>
        <w:lastRenderedPageBreak/>
        <w:t>7.2. В 2018 році, заходів впливу застосованих до Виконавчого органу та Членів Наглядової ради не  було.</w:t>
      </w:r>
    </w:p>
    <w:p w:rsidR="00F737DB" w:rsidRPr="00BD0160" w:rsidRDefault="00F737DB" w:rsidP="00F81D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28C9" w:rsidRPr="00BD0160" w:rsidRDefault="00F737DB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proofErr w:type="spellStart"/>
      <w:r w:rsidR="007651E7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7651E7" w:rsidRPr="00BD016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B7903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ризиками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ключові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характеристики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такої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13F21">
        <w:rPr>
          <w:rFonts w:ascii="Times New Roman" w:hAnsi="Times New Roman" w:cs="Times New Roman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дприємствi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створена система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функц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методiв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аналiзу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оцiнки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>.</w:t>
      </w:r>
    </w:p>
    <w:p w:rsidR="00EA28C9" w:rsidRPr="000D4619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оцiнку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органiзацiйну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звiтностi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160" w:rsidRPr="000D4619" w:rsidRDefault="00BD0160" w:rsidP="00BD01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Товариство, як страхова компанія виділяє два видами ризиків: ті, які надходять в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>д страхувальник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в,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ті, що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обумовлен</w:t>
      </w:r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її д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стю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невизначена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можливiсть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збиткiв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вимiряного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грошовому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виразi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страховика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невизначена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можлив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недостатностi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компанiї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Використовуются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кредитний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лiквiдностi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операцiйний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груповий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системний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нвестицiйнi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пов'язанi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активами)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рiзнi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прямо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опосередковано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пов'язанi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спроможнiстю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активами.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нвестицiйних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вiльнi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органiзацiйно-правовою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формою. До не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нансових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вiдносить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репутацiї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страховика,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стратегiчний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неправильних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управлiнських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операцiйно-технiчний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зводиться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мiнiмiзацiї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59C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Управління фінансовими ризиками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нансов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ризики (ризик л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кв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дност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процентної ставки, валютний, ринковий ризик, ризик втрати майна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н.)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оптим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зуються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. До ф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нансового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ризику в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дносить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техн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чний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 страховика, який визначається як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ймов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рн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того, що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розм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 виплат буде б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льшим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суму з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браних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страхових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прем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й, яких буде недостатньо для покриття витрат страхової орган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зац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 У Товариства відсутній кредитний ризик, ризик ліквідності та ринковий ризик, оскільки всі укладені договори страхування за результатами тестування визнані страховими контрактами, в зв’язку з відсутністю вбудованих похідних інструментів, відсутні непогашені кредитні залишки, та відсутня залежність від процентних ставок, які великою мірою залежать від загальних та специфічних ринкових змін..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страховими</w:t>
      </w:r>
      <w:proofErr w:type="spellEnd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ризиками</w:t>
      </w:r>
      <w:proofErr w:type="spellEnd"/>
      <w:r w:rsidRPr="002759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lastRenderedPageBreak/>
        <w:t>Здійснюється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ризиком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Всi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договори,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сума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окремим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предметом договору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перевищувала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вiдсоткiв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сплаченого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Статутного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капiталу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сформованих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вiльних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перестрахованi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Операцiї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перестраховиками-резидентами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здiйснювались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платоспроможностi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згiдно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"Про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", 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значне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перевищення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фактичного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запасу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платоспроможності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над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розрахунковим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нормативним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дає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змогу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прогнозувати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операцiями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Ключовими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випадкiв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є: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безперервнiсть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оперативнiсть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об'єктивнiсть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документальнiсть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ризиком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завдяки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поєднанню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андерайтингових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політик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принципів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ціноутворення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резерві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Особлива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увага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приділяється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забезпеченню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того,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сегмент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клієнтів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купує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продукт,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відповідав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основним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припущенням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клієнтів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сформованим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розробки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продукту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Концентрація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відсутня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9CA" w:rsidRPr="000D4619" w:rsidRDefault="002759CA" w:rsidP="00BD01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8C9" w:rsidRPr="000D4619" w:rsidRDefault="00F737DB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функціонування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року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внутрішнього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аудиту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а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в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примітках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до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та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консолідованої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звітності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до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положень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стандартів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бухгалтерського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>іку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A" w:rsidRPr="002759CA" w:rsidRDefault="00EA28C9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59C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внутр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шнього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функц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онувала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зв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пер</w:t>
      </w:r>
      <w:proofErr w:type="spellStart"/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оду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зг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дно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="002759CA"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 w:cs="Times New Roman"/>
          <w:sz w:val="24"/>
          <w:szCs w:val="24"/>
        </w:rPr>
        <w:t>з</w:t>
      </w:r>
      <w:r w:rsidR="002759CA" w:rsidRPr="002759CA">
        <w:rPr>
          <w:rFonts w:ascii="Times New Roman" w:hAnsi="Times New Roman" w:cs="Times New Roman"/>
          <w:sz w:val="24"/>
          <w:szCs w:val="24"/>
          <w:lang w:val="uk-UA"/>
        </w:rPr>
        <w:t>аконодавства</w:t>
      </w:r>
      <w:proofErr w:type="spellEnd"/>
      <w:r w:rsidR="002759CA" w:rsidRPr="002759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Функція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аудиту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вимог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внутрішній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аудит в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ПрАТ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r w:rsidR="002759CA" w:rsidRPr="002759CA">
        <w:rPr>
          <w:rFonts w:ascii="Times New Roman" w:hAnsi="Times New Roman"/>
          <w:sz w:val="24"/>
          <w:szCs w:val="24"/>
          <w:lang w:val="uk-UA"/>
        </w:rPr>
        <w:t>А</w:t>
      </w:r>
      <w:r w:rsidR="002759CA" w:rsidRPr="002759CA">
        <w:rPr>
          <w:rFonts w:ascii="Times New Roman" w:hAnsi="Times New Roman"/>
          <w:sz w:val="24"/>
          <w:szCs w:val="24"/>
        </w:rPr>
        <w:t>СК «</w:t>
      </w:r>
      <w:r w:rsidR="002759CA" w:rsidRPr="002759CA">
        <w:rPr>
          <w:rFonts w:ascii="Times New Roman" w:hAnsi="Times New Roman"/>
          <w:sz w:val="24"/>
          <w:szCs w:val="24"/>
          <w:lang w:val="uk-UA"/>
        </w:rPr>
        <w:t>Скарбниця</w:t>
      </w:r>
      <w:r w:rsidR="002759CA" w:rsidRPr="002759CA">
        <w:rPr>
          <w:rFonts w:ascii="Times New Roman" w:hAnsi="Times New Roman"/>
          <w:sz w:val="24"/>
          <w:szCs w:val="24"/>
        </w:rPr>
        <w:t>».</w:t>
      </w:r>
    </w:p>
    <w:p w:rsidR="002759CA" w:rsidRPr="002759CA" w:rsidRDefault="002759CA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CA">
        <w:rPr>
          <w:rFonts w:ascii="Times New Roman" w:hAnsi="Times New Roman"/>
          <w:sz w:val="24"/>
          <w:szCs w:val="24"/>
          <w:lang w:val="uk-UA"/>
        </w:rPr>
        <w:t xml:space="preserve"> Аудити внутрішніх процесів здійснювалися відповідно до затвердженого річного плану аудиту, розробленого на основі ризик-орієнтованої методології. </w:t>
      </w:r>
      <w:r w:rsidRPr="002759CA">
        <w:rPr>
          <w:rFonts w:ascii="Times New Roman" w:hAnsi="Times New Roman"/>
          <w:sz w:val="24"/>
          <w:szCs w:val="24"/>
        </w:rPr>
        <w:t xml:space="preserve">За результатами </w:t>
      </w:r>
      <w:proofErr w:type="spellStart"/>
      <w:r w:rsidRPr="002759CA">
        <w:rPr>
          <w:rFonts w:ascii="Times New Roman" w:hAnsi="Times New Roman"/>
          <w:sz w:val="24"/>
          <w:szCs w:val="24"/>
        </w:rPr>
        <w:t>аудитів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власникам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бізнес-процесів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було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надано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hAnsi="Times New Roman"/>
          <w:sz w:val="24"/>
          <w:szCs w:val="24"/>
        </w:rPr>
        <w:t>спрямовані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59CA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механізмів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їх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контролю та </w:t>
      </w:r>
      <w:proofErr w:type="spellStart"/>
      <w:r w:rsidRPr="002759CA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2759CA">
        <w:rPr>
          <w:rFonts w:ascii="Times New Roman" w:hAnsi="Times New Roman"/>
          <w:sz w:val="24"/>
          <w:szCs w:val="24"/>
        </w:rPr>
        <w:t>.</w:t>
      </w:r>
    </w:p>
    <w:p w:rsidR="002759CA" w:rsidRPr="002759CA" w:rsidRDefault="002759CA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C9" w:rsidRPr="002759CA" w:rsidRDefault="00F737DB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275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факти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відчуження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перевищує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встановлений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статуті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2759CA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13F21">
        <w:rPr>
          <w:rFonts w:ascii="Times New Roman" w:hAnsi="Times New Roman" w:cs="Times New Roman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59C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759CA">
        <w:rPr>
          <w:rFonts w:ascii="Times New Roman" w:hAnsi="Times New Roman" w:cs="Times New Roman"/>
          <w:sz w:val="24"/>
          <w:szCs w:val="24"/>
        </w:rPr>
        <w:t>дчуження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активiв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обсязi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статутi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2759CA" w:rsidRDefault="002759CA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275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купівл</w:t>
      </w:r>
      <w:proofErr w:type="gram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і-</w:t>
      </w:r>
      <w:proofErr w:type="gramEnd"/>
      <w:r w:rsidR="00EA28C9" w:rsidRPr="002759CA">
        <w:rPr>
          <w:rFonts w:ascii="Times New Roman" w:hAnsi="Times New Roman" w:cs="Times New Roman"/>
          <w:b/>
          <w:sz w:val="24"/>
          <w:szCs w:val="24"/>
        </w:rPr>
        <w:t>продажу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року в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перевищує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встановлений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статуті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A" w:rsidRPr="002759CA" w:rsidRDefault="002759CA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759CA">
        <w:rPr>
          <w:rFonts w:ascii="Times New Roman" w:hAnsi="Times New Roman" w:cs="Times New Roman"/>
          <w:sz w:val="24"/>
          <w:szCs w:val="24"/>
          <w:lang w:val="uk-UA"/>
        </w:rPr>
        <w:t>У 2018 р. Товариство здійснило  покупку  активів в обсязі, що перевищує встановлений у статуті страховика розмір.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C42">
        <w:rPr>
          <w:rFonts w:ascii="Times New Roman" w:hAnsi="Times New Roman" w:cs="Times New Roman"/>
          <w:sz w:val="24"/>
          <w:szCs w:val="24"/>
          <w:lang w:val="uk-UA"/>
        </w:rPr>
        <w:t>Покупка активів була затверджена протоколом засідання Наглядової ради Товариства.</w:t>
      </w:r>
    </w:p>
    <w:p w:rsidR="00EA28C9" w:rsidRPr="002759CA" w:rsidRDefault="006A6C42" w:rsidP="00EA28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12. </w:t>
      </w:r>
      <w:r w:rsidR="00EA28C9" w:rsidRPr="002759CA">
        <w:rPr>
          <w:rFonts w:ascii="Times New Roman" w:hAnsi="Times New Roman" w:cs="Times New Roman"/>
          <w:b/>
          <w:lang w:val="uk-UA"/>
        </w:rPr>
        <w:t>Вкажіть інформацію про операції з пов'язаними особами, в тому числі в межах однієї промислово-фінансової групи чи іншого об'єднання, проведені протягом року (така інформація не є комерційною таємницею), або про їх відсутність.</w:t>
      </w:r>
    </w:p>
    <w:p w:rsidR="00EA28C9" w:rsidRPr="006A54F1" w:rsidRDefault="00674917" w:rsidP="00674917">
      <w:pPr>
        <w:rPr>
          <w:rFonts w:ascii="Times New Roman" w:hAnsi="Times New Roman" w:cs="Times New Roman"/>
          <w:lang w:val="uk-UA"/>
        </w:rPr>
      </w:pPr>
      <w:r w:rsidRPr="006A6C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Пов'язана особа</w:t>
      </w:r>
      <w:r w:rsidR="007651E7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в 201</w:t>
      </w:r>
      <w:r w:rsidR="00B570AF" w:rsidRPr="006A6C4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>роц</w:t>
      </w:r>
      <w:r w:rsidR="00EA28C9" w:rsidRPr="006A6C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C42">
        <w:rPr>
          <w:rFonts w:ascii="Times New Roman" w:hAnsi="Times New Roman" w:cs="Times New Roman"/>
          <w:sz w:val="24"/>
          <w:szCs w:val="24"/>
          <w:lang w:val="uk-UA"/>
        </w:rPr>
        <w:t>надавала Товариству довгострокові позики.</w:t>
      </w:r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особи надавали Товариству послуги оренди т</w:t>
      </w:r>
      <w:r w:rsidR="006A54F1" w:rsidRPr="006A6C4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здійснювали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6A6C42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фінансових інвестицій та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. </w:t>
      </w:r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надавало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>пов’</w:t>
      </w:r>
      <w:r w:rsidR="006A54F1" w:rsidRPr="006A6C42">
        <w:rPr>
          <w:rFonts w:ascii="Times New Roman" w:hAnsi="Times New Roman" w:cs="Times New Roman"/>
          <w:sz w:val="24"/>
          <w:szCs w:val="24"/>
        </w:rPr>
        <w:t>язаним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6A54F1" w:rsidRPr="00562B69">
        <w:rPr>
          <w:rFonts w:ascii="Times New Roman" w:hAnsi="Times New Roman" w:cs="Times New Roman"/>
        </w:rPr>
        <w:t>.</w:t>
      </w:r>
    </w:p>
    <w:p w:rsidR="00EA28C9" w:rsidRPr="0024481E" w:rsidRDefault="006A6C42" w:rsidP="00EA28C9">
      <w:pPr>
        <w:rPr>
          <w:rFonts w:ascii="Times New Roman" w:hAnsi="Times New Roman" w:cs="Times New Roman"/>
          <w:lang w:val="uk-UA"/>
        </w:rPr>
      </w:pPr>
      <w:r w:rsidRPr="006A6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="00EA28C9" w:rsidRPr="006A6C42">
        <w:rPr>
          <w:rFonts w:ascii="Times New Roman" w:hAnsi="Times New Roman" w:cs="Times New Roman"/>
          <w:b/>
          <w:sz w:val="24"/>
          <w:szCs w:val="24"/>
          <w:lang w:val="uk-UA"/>
        </w:rPr>
        <w:t>Вкажіть інформацію про використані рекомендації (вимоги) органів, які здійснюють державне регулювання ринків фінансових послуг, щодо аудиторського висновку</w:t>
      </w:r>
      <w:r w:rsidR="00EA28C9" w:rsidRPr="0024481E">
        <w:rPr>
          <w:rFonts w:ascii="Times New Roman" w:hAnsi="Times New Roman" w:cs="Times New Roman"/>
          <w:lang w:val="uk-UA"/>
        </w:rPr>
        <w:t>.</w:t>
      </w:r>
    </w:p>
    <w:p w:rsidR="006A6C42" w:rsidRDefault="006A6C42" w:rsidP="006A6C42">
      <w:pPr>
        <w:pStyle w:val="131"/>
        <w:ind w:firstLine="0"/>
        <w:jc w:val="both"/>
        <w:rPr>
          <w:b w:val="0"/>
          <w:bCs w:val="0"/>
          <w:sz w:val="26"/>
          <w:szCs w:val="26"/>
        </w:rPr>
      </w:pPr>
      <w:r w:rsidRPr="005972BE">
        <w:rPr>
          <w:b w:val="0"/>
          <w:bCs w:val="0"/>
          <w:sz w:val="26"/>
          <w:szCs w:val="26"/>
        </w:rPr>
        <w:t>Рекомендацій органів, які здійснюють державне регулювання ринків фінансових послуг, щодо аудиторського висновку не було.</w:t>
      </w:r>
    </w:p>
    <w:p w:rsidR="006A6C42" w:rsidRPr="005972BE" w:rsidRDefault="006A6C42" w:rsidP="006A6C42">
      <w:pPr>
        <w:pStyle w:val="131"/>
        <w:ind w:firstLine="0"/>
        <w:jc w:val="both"/>
        <w:rPr>
          <w:b w:val="0"/>
          <w:bCs w:val="0"/>
          <w:sz w:val="26"/>
          <w:szCs w:val="26"/>
        </w:rPr>
      </w:pPr>
    </w:p>
    <w:p w:rsidR="00EA28C9" w:rsidRPr="006A6C42" w:rsidRDefault="006A6C42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="00EA28C9" w:rsidRPr="006A6C42">
        <w:rPr>
          <w:rFonts w:ascii="Times New Roman" w:hAnsi="Times New Roman" w:cs="Times New Roman"/>
          <w:b/>
          <w:sz w:val="24"/>
          <w:szCs w:val="24"/>
          <w:lang w:val="uk-UA"/>
        </w:rPr>
        <w:t>Вкажіть інформацію про зовнішнього аудитора наглядової ради фінансової установи,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24481E" w:rsidRPr="006A6C42" w:rsidRDefault="006A6C42" w:rsidP="006A6C42">
      <w:pPr>
        <w:pStyle w:val="a4"/>
        <w:jc w:val="left"/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Аудиторська </w:t>
      </w:r>
      <w:proofErr w:type="spellStart"/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перевiрка</w:t>
      </w:r>
      <w:proofErr w:type="spellEnd"/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проводилася </w:t>
      </w:r>
      <w:r w:rsidR="0024481E" w:rsidRPr="006A6C42"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  <w:t>ТовариствоМ з обмеженою відповідальністю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</w:rPr>
      </w:pPr>
      <w:r w:rsidRPr="006A6C42">
        <w:rPr>
          <w:rFonts w:ascii="Times New Roman" w:hAnsi="Times New Roman" w:cs="Times New Roman"/>
          <w:caps/>
          <w:sz w:val="24"/>
          <w:szCs w:val="24"/>
          <w:lang w:val="uk-UA"/>
        </w:rPr>
        <w:t>Аудиторська консалтингова фірма «БІЗНЕС ПАРТНЕРИ.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</w:rPr>
      </w:pPr>
      <w:r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Основн</w:t>
      </w:r>
      <w:proofErr w:type="gramStart"/>
      <w:r w:rsidRPr="006A6C4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вiдомостi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аудиторську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фiрму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>: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C42">
        <w:rPr>
          <w:rFonts w:ascii="Times New Roman" w:hAnsi="Times New Roman" w:cs="Times New Roman"/>
          <w:sz w:val="24"/>
          <w:szCs w:val="24"/>
        </w:rPr>
        <w:t xml:space="preserve"> - код ЄДРПОУ </w:t>
      </w:r>
      <w:r w:rsidRPr="006A6C42">
        <w:rPr>
          <w:rFonts w:ascii="Times New Roman" w:hAnsi="Times New Roman" w:cs="Times New Roman"/>
          <w:sz w:val="24"/>
          <w:szCs w:val="24"/>
          <w:lang w:val="uk-UA"/>
        </w:rPr>
        <w:t>37741155</w:t>
      </w:r>
      <w:r w:rsidRPr="006A6C42">
        <w:rPr>
          <w:rFonts w:ascii="Times New Roman" w:hAnsi="Times New Roman" w:cs="Times New Roman"/>
          <w:sz w:val="24"/>
          <w:szCs w:val="24"/>
        </w:rPr>
        <w:t>;</w:t>
      </w:r>
    </w:p>
    <w:p w:rsidR="0024481E" w:rsidRPr="00213F21" w:rsidRDefault="0024481E" w:rsidP="0024481E">
      <w:pPr>
        <w:pStyle w:val="a4"/>
        <w:tabs>
          <w:tab w:val="left" w:pos="210"/>
          <w:tab w:val="center" w:pos="4677"/>
        </w:tabs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  <w:r w:rsidRPr="00213F2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>Свідоцтво про внесення в реєстр аудиторських фірм №4463 від 29 вересня 2011 р.</w:t>
      </w:r>
    </w:p>
    <w:p w:rsidR="0024481E" w:rsidRPr="00213F21" w:rsidRDefault="0024481E" w:rsidP="0024481E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</w:p>
    <w:p w:rsidR="0024481E" w:rsidRPr="00213F21" w:rsidRDefault="0024481E" w:rsidP="0024481E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адреса: </w:t>
      </w:r>
      <w:r w:rsidRPr="00213F21">
        <w:rPr>
          <w:rFonts w:ascii="Times New Roman" w:hAnsi="Times New Roman" w:cs="Times New Roman"/>
          <w:lang w:val="uk-UA"/>
        </w:rPr>
        <w:t>79058</w:t>
      </w:r>
      <w:r w:rsidRPr="00213F21">
        <w:rPr>
          <w:rFonts w:ascii="Times New Roman" w:hAnsi="Times New Roman" w:cs="Times New Roman"/>
        </w:rPr>
        <w:t xml:space="preserve"> м</w:t>
      </w:r>
      <w:proofErr w:type="gramStart"/>
      <w:r w:rsidRPr="00213F21">
        <w:rPr>
          <w:rFonts w:ascii="Times New Roman" w:hAnsi="Times New Roman" w:cs="Times New Roman"/>
        </w:rPr>
        <w:t>.</w:t>
      </w:r>
      <w:r w:rsidRPr="00213F21">
        <w:rPr>
          <w:rFonts w:ascii="Times New Roman" w:hAnsi="Times New Roman" w:cs="Times New Roman"/>
          <w:lang w:val="uk-UA"/>
        </w:rPr>
        <w:t>Л</w:t>
      </w:r>
      <w:proofErr w:type="gramEnd"/>
      <w:r w:rsidRPr="00213F21">
        <w:rPr>
          <w:rFonts w:ascii="Times New Roman" w:hAnsi="Times New Roman" w:cs="Times New Roman"/>
          <w:lang w:val="uk-UA"/>
        </w:rPr>
        <w:t>ьвів</w:t>
      </w:r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вул</w:t>
      </w:r>
      <w:proofErr w:type="spellEnd"/>
      <w:r w:rsidRPr="00213F21">
        <w:rPr>
          <w:rFonts w:ascii="Times New Roman" w:hAnsi="Times New Roman" w:cs="Times New Roman"/>
        </w:rPr>
        <w:t>.</w:t>
      </w:r>
      <w:proofErr w:type="spellStart"/>
      <w:r w:rsidRPr="00213F21">
        <w:rPr>
          <w:rFonts w:ascii="Times New Roman" w:hAnsi="Times New Roman" w:cs="Times New Roman"/>
          <w:lang w:val="uk-UA"/>
        </w:rPr>
        <w:t>Масарика</w:t>
      </w:r>
      <w:proofErr w:type="spellEnd"/>
      <w:r w:rsidRPr="00213F21">
        <w:rPr>
          <w:rFonts w:ascii="Times New Roman" w:hAnsi="Times New Roman" w:cs="Times New Roman"/>
          <w:lang w:val="uk-UA"/>
        </w:rPr>
        <w:t xml:space="preserve"> </w:t>
      </w:r>
      <w:r w:rsidRPr="00213F21">
        <w:rPr>
          <w:rFonts w:ascii="Times New Roman" w:hAnsi="Times New Roman" w:cs="Times New Roman"/>
        </w:rPr>
        <w:t>, буд.</w:t>
      </w:r>
      <w:r w:rsidRPr="00213F21">
        <w:rPr>
          <w:rFonts w:ascii="Times New Roman" w:hAnsi="Times New Roman" w:cs="Times New Roman"/>
          <w:lang w:val="uk-UA"/>
        </w:rPr>
        <w:t>18</w:t>
      </w:r>
      <w:r w:rsidRPr="00213F21">
        <w:rPr>
          <w:rFonts w:ascii="Times New Roman" w:hAnsi="Times New Roman" w:cs="Times New Roman"/>
        </w:rPr>
        <w:t>, кв.</w:t>
      </w:r>
      <w:r w:rsidRPr="00213F21">
        <w:rPr>
          <w:rFonts w:ascii="Times New Roman" w:hAnsi="Times New Roman" w:cs="Times New Roman"/>
          <w:lang w:val="uk-UA"/>
        </w:rPr>
        <w:t>130</w:t>
      </w:r>
      <w:r w:rsidRPr="00213F21">
        <w:rPr>
          <w:rFonts w:ascii="Times New Roman" w:hAnsi="Times New Roman" w:cs="Times New Roman"/>
        </w:rPr>
        <w:t>.</w:t>
      </w:r>
    </w:p>
    <w:p w:rsidR="0024481E" w:rsidRPr="00213F21" w:rsidRDefault="0024481E" w:rsidP="0024481E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- телефон: (0</w:t>
      </w:r>
      <w:r w:rsidRPr="00213F21">
        <w:rPr>
          <w:rFonts w:ascii="Times New Roman" w:hAnsi="Times New Roman" w:cs="Times New Roman"/>
          <w:lang w:val="uk-UA"/>
        </w:rPr>
        <w:t>3</w:t>
      </w:r>
      <w:r w:rsidRPr="00213F21">
        <w:rPr>
          <w:rFonts w:ascii="Times New Roman" w:hAnsi="Times New Roman" w:cs="Times New Roman"/>
        </w:rPr>
        <w:t>2)</w:t>
      </w:r>
      <w:r w:rsidRPr="00213F21">
        <w:rPr>
          <w:rFonts w:ascii="Times New Roman" w:hAnsi="Times New Roman" w:cs="Times New Roman"/>
          <w:lang w:val="uk-UA"/>
        </w:rPr>
        <w:t>2493661</w:t>
      </w:r>
      <w:r w:rsidRPr="00213F21">
        <w:rPr>
          <w:rFonts w:ascii="Times New Roman" w:hAnsi="Times New Roman" w:cs="Times New Roman"/>
        </w:rPr>
        <w:t>, (0</w:t>
      </w:r>
      <w:r w:rsidRPr="00213F21">
        <w:rPr>
          <w:rFonts w:ascii="Times New Roman" w:hAnsi="Times New Roman" w:cs="Times New Roman"/>
          <w:lang w:val="uk-UA"/>
        </w:rPr>
        <w:t>50</w:t>
      </w:r>
      <w:r w:rsidRPr="00213F21">
        <w:rPr>
          <w:rFonts w:ascii="Times New Roman" w:hAnsi="Times New Roman" w:cs="Times New Roman"/>
        </w:rPr>
        <w:t xml:space="preserve">) </w:t>
      </w:r>
      <w:r w:rsidRPr="00213F21">
        <w:rPr>
          <w:rFonts w:ascii="Times New Roman" w:hAnsi="Times New Roman" w:cs="Times New Roman"/>
          <w:lang w:val="uk-UA"/>
        </w:rPr>
        <w:t>3173661</w:t>
      </w:r>
      <w:r w:rsidRPr="00213F21">
        <w:rPr>
          <w:rFonts w:ascii="Times New Roman" w:hAnsi="Times New Roman" w:cs="Times New Roman"/>
        </w:rPr>
        <w:t xml:space="preserve">. </w:t>
      </w:r>
    </w:p>
    <w:p w:rsidR="00EA28C9" w:rsidRPr="00CF5F94" w:rsidRDefault="006A6C42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CF5F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зовнішнього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аудитора </w:t>
      </w:r>
    </w:p>
    <w:p w:rsidR="00EA28C9" w:rsidRPr="000D4619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3F21">
        <w:rPr>
          <w:rFonts w:ascii="Times New Roman" w:hAnsi="Times New Roman" w:cs="Times New Roman"/>
        </w:rPr>
        <w:t xml:space="preserve">  </w:t>
      </w:r>
      <w:r w:rsidRPr="000D46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стаж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аудиторської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</w:t>
      </w:r>
      <w:r w:rsidR="00FE540A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5090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D4619" w:rsidRPr="000D4619">
        <w:rPr>
          <w:rFonts w:ascii="Times New Roman" w:hAnsi="Times New Roman" w:cs="Times New Roman"/>
          <w:sz w:val="24"/>
          <w:szCs w:val="24"/>
        </w:rPr>
        <w:t xml:space="preserve">7 </w:t>
      </w:r>
      <w:r w:rsidR="00154E98" w:rsidRPr="000D4619">
        <w:rPr>
          <w:rFonts w:ascii="Times New Roman" w:hAnsi="Times New Roman" w:cs="Times New Roman"/>
          <w:sz w:val="24"/>
          <w:szCs w:val="24"/>
          <w:lang w:val="uk-UA"/>
        </w:rPr>
        <w:t>рокі</w:t>
      </w:r>
      <w:proofErr w:type="gramStart"/>
      <w:r w:rsidR="00154E98" w:rsidRPr="000D461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</w:p>
    <w:p w:rsidR="00EA28C9" w:rsidRPr="00CF5F94" w:rsidRDefault="0026363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4619">
        <w:rPr>
          <w:rFonts w:ascii="Times New Roman" w:hAnsi="Times New Roman" w:cs="Times New Roman"/>
          <w:sz w:val="24"/>
          <w:szCs w:val="24"/>
        </w:rPr>
        <w:t xml:space="preserve">  </w:t>
      </w:r>
      <w:r w:rsidR="00EA28C9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- кількість років, протягом яких надає аудиторські послуги фінансовій установі. </w:t>
      </w:r>
      <w:r w:rsidR="00CF5F94" w:rsidRPr="000D461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67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123C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CF5F94" w:rsidRDefault="00CF5F94" w:rsidP="00CF5F94">
      <w:pPr>
        <w:pStyle w:val="131"/>
        <w:ind w:firstLine="0"/>
        <w:jc w:val="both"/>
        <w:rPr>
          <w:b w:val="0"/>
          <w:bCs w:val="0"/>
          <w:sz w:val="24"/>
          <w:szCs w:val="24"/>
        </w:rPr>
      </w:pPr>
      <w:r w:rsidRPr="00CF5F94">
        <w:rPr>
          <w:sz w:val="24"/>
          <w:szCs w:val="24"/>
        </w:rPr>
        <w:t xml:space="preserve">- </w:t>
      </w:r>
      <w:r w:rsidRPr="00CF5F94">
        <w:rPr>
          <w:b w:val="0"/>
          <w:sz w:val="24"/>
          <w:szCs w:val="24"/>
        </w:rPr>
        <w:t>в</w:t>
      </w:r>
      <w:r w:rsidRPr="00CF5F94">
        <w:rPr>
          <w:b w:val="0"/>
          <w:bCs w:val="0"/>
          <w:sz w:val="24"/>
          <w:szCs w:val="24"/>
        </w:rPr>
        <w:t>ипадки виникнення конфлікту інтересів та/або суміщення виконання функцій внутрішнього аудитора</w:t>
      </w:r>
      <w:r w:rsidRPr="00CF5F94">
        <w:rPr>
          <w:b w:val="0"/>
          <w:bCs w:val="0"/>
          <w:i/>
          <w:iCs/>
          <w:sz w:val="24"/>
          <w:szCs w:val="24"/>
        </w:rPr>
        <w:t xml:space="preserve"> </w:t>
      </w:r>
      <w:r w:rsidRPr="00CF5F94">
        <w:rPr>
          <w:b w:val="0"/>
          <w:bCs w:val="0"/>
          <w:sz w:val="24"/>
          <w:szCs w:val="24"/>
        </w:rPr>
        <w:t>– відсутні;</w:t>
      </w:r>
    </w:p>
    <w:p w:rsidR="00CF5F94" w:rsidRPr="00CF5F94" w:rsidRDefault="00CF5F94" w:rsidP="00CF5F94">
      <w:pPr>
        <w:pStyle w:val="131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EA28C9" w:rsidRPr="00CF5F94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 - ротацію аудиторів у фінансовій установі протягом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останіх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п`яти років </w:t>
      </w:r>
      <w:r w:rsidR="00CF5F94" w:rsidRPr="00CF5F94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ротягом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останн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>х п'яти рок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F18B6"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відбулась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ротац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18B6" w:rsidRPr="00CF5F9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аудиторської ф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>рми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>дприємств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2CD3">
        <w:rPr>
          <w:rFonts w:ascii="Times New Roman" w:hAnsi="Times New Roman" w:cs="Times New Roman"/>
          <w:sz w:val="24"/>
          <w:szCs w:val="24"/>
          <w:lang w:val="uk-UA"/>
        </w:rPr>
        <w:t>Аудит Товариства за  2016 р. проводила Аудиторська фірма ТОВ «Консул».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2CD3">
        <w:rPr>
          <w:rFonts w:ascii="Times New Roman" w:hAnsi="Times New Roman" w:cs="Times New Roman"/>
          <w:lang w:val="uk-UA"/>
        </w:rPr>
        <w:t xml:space="preserve">  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>- стягнення, застосовані до аудитора Аудиторською палатою України протягом року, та факти подання недостовірної звітності фінансової установи, що підтверджена аудиторським висновком, виявлені органами, які здійснюють державне регулювання ринків фінансових послуг.</w:t>
      </w:r>
    </w:p>
    <w:p w:rsidR="00EA28C9" w:rsidRPr="00213F21" w:rsidRDefault="00EA28C9" w:rsidP="00EA28C9">
      <w:pPr>
        <w:rPr>
          <w:rFonts w:ascii="Times New Roman" w:hAnsi="Times New Roman" w:cs="Times New Roman"/>
        </w:rPr>
      </w:pPr>
      <w:r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Стягнень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застосованих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до аудитора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Аудиторською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року, та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2C123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123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недостовiрної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звiтностi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пiдтверджена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аудиторським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висновком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здiйснюють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13F21">
        <w:rPr>
          <w:rFonts w:ascii="Times New Roman" w:hAnsi="Times New Roman" w:cs="Times New Roman"/>
        </w:rPr>
        <w:t xml:space="preserve">. </w:t>
      </w:r>
    </w:p>
    <w:p w:rsidR="00EA28C9" w:rsidRPr="002C123C" w:rsidRDefault="002C123C" w:rsidP="00EA28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23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16.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Вкажіть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інформацію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щодо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фінансовою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установою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споживачів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фінансових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послуг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13F21">
        <w:rPr>
          <w:rFonts w:ascii="Times New Roman" w:hAnsi="Times New Roman" w:cs="Times New Roman"/>
        </w:rPr>
        <w:t xml:space="preserve">-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2C123C" w:rsidRDefault="0048677D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У 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овариств</w:t>
      </w:r>
      <w:proofErr w:type="gramStart"/>
      <w:r w:rsidR="00EA28C9" w:rsidRPr="002C123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механiзм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2C12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C123C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2C123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123C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Челак Андрій Ярославович </w:t>
      </w:r>
      <w:r w:rsidRPr="002C123C">
        <w:rPr>
          <w:rFonts w:ascii="Times New Roman" w:hAnsi="Times New Roman" w:cs="Times New Roman"/>
          <w:sz w:val="24"/>
          <w:szCs w:val="24"/>
        </w:rPr>
        <w:t xml:space="preserve">та перший заступник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A6" w:rsidRPr="002C123C">
        <w:rPr>
          <w:rFonts w:ascii="Times New Roman" w:hAnsi="Times New Roman" w:cs="Times New Roman"/>
          <w:sz w:val="24"/>
          <w:szCs w:val="24"/>
          <w:lang w:val="uk-UA"/>
        </w:rPr>
        <w:t>Гураль</w:t>
      </w:r>
      <w:proofErr w:type="spellEnd"/>
      <w:r w:rsidR="00B453A6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Андрій Іванович </w:t>
      </w:r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уповноваженi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- стан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(характер,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задоволених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1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570AF" w:rsidRPr="002C12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р. до Товариства </w:t>
      </w:r>
      <w:r w:rsidR="00F52C95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не надходили скарги 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>стосовно надання фінансових послуг</w:t>
      </w:r>
      <w:proofErr w:type="gramStart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F52C95" w:rsidRPr="002C123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EA28C9" w:rsidRPr="002C123C" w:rsidRDefault="00EA28C9" w:rsidP="00EA28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123C">
        <w:rPr>
          <w:rFonts w:ascii="Times New Roman" w:hAnsi="Times New Roman" w:cs="Times New Roman"/>
          <w:color w:val="FF0000"/>
          <w:sz w:val="24"/>
          <w:szCs w:val="24"/>
        </w:rPr>
        <w:t xml:space="preserve">  -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позові</w:t>
      </w:r>
      <w:proofErr w:type="gramStart"/>
      <w:r w:rsidRPr="002C123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C123C">
        <w:rPr>
          <w:rFonts w:ascii="Times New Roman" w:hAnsi="Times New Roman" w:cs="Times New Roman"/>
          <w:sz w:val="24"/>
          <w:szCs w:val="24"/>
        </w:rPr>
        <w:t xml:space="preserve"> до суду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C1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444F" w:rsidRPr="002C123C" w:rsidRDefault="0036260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У 2018 р. були </w:t>
      </w:r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C3D5C" w:rsidRPr="002C123C">
        <w:rPr>
          <w:rFonts w:ascii="Times New Roman" w:hAnsi="Times New Roman" w:cs="Times New Roman"/>
          <w:sz w:val="24"/>
          <w:szCs w:val="24"/>
        </w:rPr>
        <w:t>удов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позов</w:t>
      </w:r>
      <w:proofErr w:type="spellEnd"/>
      <w:r w:rsidRPr="002C123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C3D5C" w:rsidRPr="002C123C">
        <w:rPr>
          <w:rFonts w:ascii="Times New Roman" w:hAnsi="Times New Roman" w:cs="Times New Roman"/>
          <w:sz w:val="24"/>
          <w:szCs w:val="24"/>
        </w:rPr>
        <w:t xml:space="preserve"> до </w:t>
      </w:r>
      <w:r w:rsidR="00FC3D5C" w:rsidRPr="002C123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>.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5B5" w:rsidRPr="002C123C">
        <w:rPr>
          <w:rFonts w:ascii="Times New Roman" w:hAnsi="Times New Roman" w:cs="Times New Roman"/>
          <w:sz w:val="24"/>
          <w:szCs w:val="24"/>
          <w:lang w:val="uk-UA"/>
        </w:rPr>
        <w:t>Судові рішення були виконані згідно чинного законодавства.</w:t>
      </w: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1D01FA" w:rsidP="001D01FA">
      <w:pPr>
        <w:tabs>
          <w:tab w:val="left" w:pos="3045"/>
          <w:tab w:val="left" w:pos="6840"/>
        </w:tabs>
        <w:rPr>
          <w:rFonts w:ascii="Times New Roman" w:hAnsi="Times New Roman" w:cs="Times New Roman"/>
          <w:lang w:val="uk-UA"/>
        </w:rPr>
      </w:pPr>
      <w:r w:rsidRPr="00770442">
        <w:rPr>
          <w:rFonts w:ascii="Times New Roman" w:hAnsi="Times New Roman" w:cs="Times New Roman"/>
        </w:rPr>
        <w:t xml:space="preserve">             </w:t>
      </w:r>
      <w:r w:rsidR="00F1444F" w:rsidRPr="00213F21">
        <w:rPr>
          <w:rFonts w:ascii="Times New Roman" w:hAnsi="Times New Roman" w:cs="Times New Roman"/>
          <w:lang w:val="uk-UA"/>
        </w:rPr>
        <w:t>Керівник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  <w:t>____________________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C3D5C" w:rsidRPr="00213F21">
        <w:rPr>
          <w:rFonts w:ascii="Times New Roman" w:hAnsi="Times New Roman" w:cs="Times New Roman"/>
          <w:lang w:val="uk-UA"/>
        </w:rPr>
        <w:t>Челак А.Я.</w:t>
      </w: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575090" w:rsidRPr="00213F21" w:rsidRDefault="00F1444F" w:rsidP="0048677D">
      <w:pPr>
        <w:tabs>
          <w:tab w:val="left" w:pos="3120"/>
          <w:tab w:val="left" w:pos="6900"/>
        </w:tabs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Головний бухгалтер</w:t>
      </w:r>
      <w:r w:rsidRPr="00213F21">
        <w:rPr>
          <w:rFonts w:ascii="Times New Roman" w:hAnsi="Times New Roman" w:cs="Times New Roman"/>
          <w:lang w:val="uk-UA"/>
        </w:rPr>
        <w:tab/>
        <w:t>_____________________</w:t>
      </w:r>
      <w:r w:rsidRPr="00213F21">
        <w:rPr>
          <w:rFonts w:ascii="Times New Roman" w:hAnsi="Times New Roman" w:cs="Times New Roman"/>
          <w:lang w:val="uk-UA"/>
        </w:rPr>
        <w:tab/>
        <w:t>Клименко І.М.</w:t>
      </w:r>
    </w:p>
    <w:sectPr w:rsidR="00575090" w:rsidRPr="00213F21" w:rsidSect="002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62E"/>
    <w:multiLevelType w:val="hybridMultilevel"/>
    <w:tmpl w:val="E7763E2C"/>
    <w:lvl w:ilvl="0" w:tplc="7EC0F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700A0C"/>
    <w:multiLevelType w:val="hybridMultilevel"/>
    <w:tmpl w:val="8D324EEE"/>
    <w:lvl w:ilvl="0" w:tplc="604EFE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786247"/>
    <w:multiLevelType w:val="hybridMultilevel"/>
    <w:tmpl w:val="67D2790A"/>
    <w:lvl w:ilvl="0" w:tplc="BCD6FA1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7D"/>
    <w:rsid w:val="00031841"/>
    <w:rsid w:val="000424C8"/>
    <w:rsid w:val="000811F3"/>
    <w:rsid w:val="000B730A"/>
    <w:rsid w:val="000D4619"/>
    <w:rsid w:val="000D70DF"/>
    <w:rsid w:val="000E1BC9"/>
    <w:rsid w:val="000F22F3"/>
    <w:rsid w:val="00154E98"/>
    <w:rsid w:val="00161720"/>
    <w:rsid w:val="00184D37"/>
    <w:rsid w:val="001B52B3"/>
    <w:rsid w:val="001C7EB1"/>
    <w:rsid w:val="001D01FA"/>
    <w:rsid w:val="001E3258"/>
    <w:rsid w:val="00213F21"/>
    <w:rsid w:val="00240A57"/>
    <w:rsid w:val="0024481E"/>
    <w:rsid w:val="00263639"/>
    <w:rsid w:val="002759CA"/>
    <w:rsid w:val="002C123C"/>
    <w:rsid w:val="003075D0"/>
    <w:rsid w:val="003306FD"/>
    <w:rsid w:val="00362606"/>
    <w:rsid w:val="0036492F"/>
    <w:rsid w:val="003865DD"/>
    <w:rsid w:val="003B29CF"/>
    <w:rsid w:val="00456414"/>
    <w:rsid w:val="004623AD"/>
    <w:rsid w:val="00467A7B"/>
    <w:rsid w:val="00474B14"/>
    <w:rsid w:val="00485C97"/>
    <w:rsid w:val="0048677D"/>
    <w:rsid w:val="004B7903"/>
    <w:rsid w:val="004D1BA6"/>
    <w:rsid w:val="00562B69"/>
    <w:rsid w:val="00575090"/>
    <w:rsid w:val="005F44A0"/>
    <w:rsid w:val="00642077"/>
    <w:rsid w:val="00647F32"/>
    <w:rsid w:val="00674917"/>
    <w:rsid w:val="006A3714"/>
    <w:rsid w:val="006A54F1"/>
    <w:rsid w:val="006A557D"/>
    <w:rsid w:val="006A6C42"/>
    <w:rsid w:val="006B5045"/>
    <w:rsid w:val="006E4DE6"/>
    <w:rsid w:val="007567A9"/>
    <w:rsid w:val="007651E7"/>
    <w:rsid w:val="00770442"/>
    <w:rsid w:val="007722E0"/>
    <w:rsid w:val="00787B92"/>
    <w:rsid w:val="007978B7"/>
    <w:rsid w:val="007E1924"/>
    <w:rsid w:val="007F190A"/>
    <w:rsid w:val="00860F41"/>
    <w:rsid w:val="00886F7D"/>
    <w:rsid w:val="0097089C"/>
    <w:rsid w:val="009E65F3"/>
    <w:rsid w:val="009F18B6"/>
    <w:rsid w:val="00A63DC1"/>
    <w:rsid w:val="00AC5379"/>
    <w:rsid w:val="00AF2915"/>
    <w:rsid w:val="00B27474"/>
    <w:rsid w:val="00B31011"/>
    <w:rsid w:val="00B453A6"/>
    <w:rsid w:val="00B47748"/>
    <w:rsid w:val="00B570AF"/>
    <w:rsid w:val="00B775B5"/>
    <w:rsid w:val="00B81E76"/>
    <w:rsid w:val="00BD0160"/>
    <w:rsid w:val="00BF46DA"/>
    <w:rsid w:val="00C64C3E"/>
    <w:rsid w:val="00CB1761"/>
    <w:rsid w:val="00CF5F94"/>
    <w:rsid w:val="00D631EA"/>
    <w:rsid w:val="00DB1C10"/>
    <w:rsid w:val="00DB2CD3"/>
    <w:rsid w:val="00DC2F7E"/>
    <w:rsid w:val="00DE67B8"/>
    <w:rsid w:val="00DF30CA"/>
    <w:rsid w:val="00E74A19"/>
    <w:rsid w:val="00EA28C9"/>
    <w:rsid w:val="00EC5969"/>
    <w:rsid w:val="00F1444F"/>
    <w:rsid w:val="00F52C95"/>
    <w:rsid w:val="00F645C6"/>
    <w:rsid w:val="00F737DB"/>
    <w:rsid w:val="00F81DEE"/>
    <w:rsid w:val="00FA4AC1"/>
    <w:rsid w:val="00FC3D5C"/>
    <w:rsid w:val="00FD3C29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locked/>
    <w:rsid w:val="00CB1761"/>
    <w:rPr>
      <w:rFonts w:cs="Times New Roman"/>
      <w:color w:val="0000FF"/>
      <w:u w:val="single"/>
    </w:rPr>
  </w:style>
  <w:style w:type="paragraph" w:customStyle="1" w:styleId="13">
    <w:name w:val="Обычный (веб) + 13 пт"/>
    <w:aliases w:val="По ширине,Перед:  Авто,После:  Авто + 13 пт,не полужир....,После:  Авто,После:  Авто + 13 п..."/>
    <w:basedOn w:val="a9"/>
    <w:link w:val="130"/>
    <w:uiPriority w:val="99"/>
    <w:rsid w:val="00C64C3E"/>
    <w:pPr>
      <w:spacing w:after="0" w:line="240" w:lineRule="auto"/>
      <w:ind w:firstLine="709"/>
      <w:jc w:val="center"/>
    </w:pPr>
    <w:rPr>
      <w:rFonts w:ascii="Calibri" w:eastAsia="Times New Roman" w:hAnsi="Calibri"/>
      <w:b/>
      <w:bCs/>
      <w:sz w:val="28"/>
      <w:szCs w:val="28"/>
      <w:lang w:val="uk-UA" w:eastAsia="uk-UA"/>
    </w:rPr>
  </w:style>
  <w:style w:type="character" w:customStyle="1" w:styleId="130">
    <w:name w:val="Обычный (веб) + 13 пт Знак"/>
    <w:aliases w:val="По ширине Знак,Перед:  Авто Знак,После:  Авто + 13 пт Знак,не полужир.... Знак"/>
    <w:link w:val="13"/>
    <w:uiPriority w:val="99"/>
    <w:locked/>
    <w:rsid w:val="00C64C3E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C64C3E"/>
    <w:rPr>
      <w:rFonts w:ascii="Times New Roman" w:hAnsi="Times New Roman" w:cs="Times New Roman"/>
      <w:sz w:val="24"/>
      <w:szCs w:val="24"/>
    </w:rPr>
  </w:style>
  <w:style w:type="paragraph" w:customStyle="1" w:styleId="131">
    <w:name w:val="131"/>
    <w:basedOn w:val="a"/>
    <w:uiPriority w:val="99"/>
    <w:rsid w:val="006A6C4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7978</Words>
  <Characters>4548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ВАТ АСК "Скарбниця"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Редіна</dc:creator>
  <cp:keywords/>
  <dc:description/>
  <cp:lastModifiedBy>Ірина Клименко</cp:lastModifiedBy>
  <cp:revision>45</cp:revision>
  <cp:lastPrinted>2014-02-27T11:04:00Z</cp:lastPrinted>
  <dcterms:created xsi:type="dcterms:W3CDTF">2013-03-28T10:08:00Z</dcterms:created>
  <dcterms:modified xsi:type="dcterms:W3CDTF">2019-04-23T16:18:00Z</dcterms:modified>
</cp:coreProperties>
</file>